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EC332" w14:textId="77777777" w:rsidR="003B299C" w:rsidRPr="00B840BB" w:rsidRDefault="002C1271">
      <w:pPr>
        <w:jc w:val="center"/>
        <w:rPr>
          <w:color w:val="auto"/>
        </w:rPr>
      </w:pPr>
      <w:r w:rsidRPr="00B840BB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XV – PORTARIA MROSC CULTURA</w:t>
      </w:r>
    </w:p>
    <w:p w14:paraId="22F32F88" w14:textId="77777777" w:rsidR="003B299C" w:rsidRPr="00B840BB" w:rsidRDefault="003B299C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highlight w:val="yellow"/>
          <w:lang w:eastAsia="x-none"/>
        </w:rPr>
      </w:pPr>
    </w:p>
    <w:p w14:paraId="66732A21" w14:textId="77777777" w:rsidR="003B299C" w:rsidRPr="00B840BB" w:rsidRDefault="002C1271" w:rsidP="00BB5182">
      <w:pPr>
        <w:jc w:val="center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PARECER TÉCNICO DE ANÁLISE DO PLANO DE TRABALHO</w:t>
      </w:r>
      <w:r w:rsidR="00BB5182" w:rsidRPr="00B840BB">
        <w:rPr>
          <w:rFonts w:ascii="Arial" w:hAnsi="Arial"/>
          <w:b/>
          <w:color w:val="auto"/>
          <w:sz w:val="22"/>
          <w:szCs w:val="22"/>
        </w:rPr>
        <w:t xml:space="preserve"> – SEM CHAMAMENTO PÚBLICO</w:t>
      </w:r>
    </w:p>
    <w:p w14:paraId="6B2416E4" w14:textId="77777777"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628F200A" w14:textId="77777777"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27CCF92D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I. DADOS DA PARCERIA</w:t>
      </w:r>
    </w:p>
    <w:p w14:paraId="7D7FE925" w14:textId="77777777" w:rsidR="003B299C" w:rsidRPr="00B840BB" w:rsidRDefault="003B299C">
      <w:pPr>
        <w:jc w:val="both"/>
        <w:rPr>
          <w:rFonts w:asciiTheme="minorHAnsi" w:hAnsiTheme="minorHAnsi"/>
          <w:b/>
          <w:color w:val="auto"/>
        </w:rPr>
      </w:pPr>
    </w:p>
    <w:p w14:paraId="2F201A51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OSC PROPONENTE: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14:paraId="7D9E6239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TÍTULO DA PARCERIA: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14:paraId="402B2BE1" w14:textId="77777777" w:rsidR="003B299C" w:rsidRDefault="002C1271">
      <w:pPr>
        <w:jc w:val="both"/>
        <w:rPr>
          <w:rFonts w:ascii="Arial" w:hAnsi="Arial"/>
          <w:color w:val="auto"/>
          <w:sz w:val="22"/>
          <w:szCs w:val="22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PERÍODO DE EXECUÇÃO DA PARCERIA:</w:t>
      </w:r>
      <w:r w:rsidRPr="00B840BB">
        <w:rPr>
          <w:rFonts w:ascii="Arial" w:hAnsi="Arial"/>
          <w:color w:val="auto"/>
          <w:sz w:val="22"/>
          <w:szCs w:val="22"/>
        </w:rPr>
        <w:t xml:space="preserve"> </w:t>
      </w:r>
    </w:p>
    <w:p w14:paraId="533F244A" w14:textId="77777777" w:rsidR="001750FA" w:rsidRPr="001750FA" w:rsidRDefault="001750FA">
      <w:pPr>
        <w:jc w:val="both"/>
        <w:rPr>
          <w:b/>
          <w:color w:val="auto"/>
        </w:rPr>
      </w:pPr>
      <w:r>
        <w:rPr>
          <w:rFonts w:ascii="Arial" w:hAnsi="Arial"/>
          <w:b/>
          <w:color w:val="auto"/>
          <w:sz w:val="22"/>
          <w:szCs w:val="22"/>
        </w:rPr>
        <w:t>PERÍODO DE VIGÊNCIA DA PARCERIA:</w:t>
      </w:r>
    </w:p>
    <w:p w14:paraId="386004A6" w14:textId="77777777"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569F1F02" w14:textId="77777777" w:rsidR="003B299C" w:rsidRPr="00B840BB" w:rsidRDefault="003B299C">
      <w:pPr>
        <w:jc w:val="both"/>
        <w:rPr>
          <w:rFonts w:ascii="Arial" w:hAnsi="Arial"/>
          <w:b/>
          <w:color w:val="auto"/>
          <w:sz w:val="22"/>
          <w:szCs w:val="22"/>
        </w:rPr>
      </w:pPr>
    </w:p>
    <w:p w14:paraId="31756D3D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II. RELATÓRIO</w:t>
      </w:r>
    </w:p>
    <w:p w14:paraId="00EC8B04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0D9DC15E" w14:textId="7B9E6314" w:rsidR="003B299C" w:rsidRPr="00B840BB" w:rsidRDefault="00BB5182" w:rsidP="00BB5182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  <w:bookmarkStart w:id="0" w:name="_GoBack1"/>
      <w:bookmarkEnd w:id="0"/>
      <w:r w:rsidRPr="00B840BB">
        <w:rPr>
          <w:rFonts w:ascii="Arial" w:hAnsi="Arial"/>
          <w:color w:val="auto"/>
          <w:sz w:val="22"/>
          <w:szCs w:val="22"/>
        </w:rPr>
        <w:t xml:space="preserve">Trata-se de análise de requerimento de parceria, a 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respeito do interesse público de a Secretaria Estado de Cultura </w:t>
      </w:r>
      <w:r w:rsidR="00D0275E">
        <w:rPr>
          <w:rFonts w:ascii="Arial" w:hAnsi="Arial"/>
          <w:color w:val="auto"/>
          <w:sz w:val="22"/>
          <w:szCs w:val="22"/>
        </w:rPr>
        <w:t xml:space="preserve">e Economia Criativa 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do Distrito Federal firmar </w:t>
      </w:r>
      <w:r w:rsidRPr="00B840BB">
        <w:rPr>
          <w:rFonts w:ascii="Arial" w:hAnsi="Arial"/>
          <w:color w:val="auto"/>
          <w:sz w:val="22"/>
          <w:szCs w:val="22"/>
        </w:rPr>
        <w:t>instrumento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 com a </w:t>
      </w:r>
      <w:r w:rsidRPr="00B840BB">
        <w:rPr>
          <w:rFonts w:ascii="Arial" w:hAnsi="Arial"/>
          <w:color w:val="auto"/>
          <w:sz w:val="22"/>
          <w:szCs w:val="22"/>
        </w:rPr>
        <w:t xml:space="preserve">OSC 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proponente para realização do </w:t>
      </w:r>
      <w:r w:rsidR="002C1271" w:rsidRPr="00B840BB">
        <w:rPr>
          <w:rFonts w:ascii="Arial" w:eastAsia="Times New Roman" w:hAnsi="Arial" w:cs="Arial"/>
          <w:color w:val="auto"/>
          <w:sz w:val="22"/>
          <w:szCs w:val="22"/>
          <w:lang w:eastAsia="pt-BR"/>
        </w:rPr>
        <w:t>[PROJETO OU ATIVIDADE OBJETO DA PARCERIA]</w:t>
      </w:r>
      <w:r w:rsidR="002C1271" w:rsidRPr="00B840BB">
        <w:rPr>
          <w:rFonts w:ascii="Arial" w:hAnsi="Arial"/>
          <w:color w:val="auto"/>
          <w:sz w:val="22"/>
          <w:szCs w:val="22"/>
        </w:rPr>
        <w:t xml:space="preserve">. </w:t>
      </w:r>
    </w:p>
    <w:p w14:paraId="780FED5E" w14:textId="77777777" w:rsidR="00BB5182" w:rsidRPr="00B840BB" w:rsidRDefault="00BB5182" w:rsidP="00BB5182">
      <w:pPr>
        <w:spacing w:line="276" w:lineRule="auto"/>
        <w:ind w:firstLine="708"/>
        <w:jc w:val="both"/>
        <w:rPr>
          <w:rFonts w:ascii="Arial" w:hAnsi="Arial"/>
          <w:color w:val="auto"/>
          <w:sz w:val="22"/>
          <w:szCs w:val="22"/>
        </w:rPr>
      </w:pPr>
    </w:p>
    <w:p w14:paraId="161219A9" w14:textId="77777777"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III. FUNDAMENTAÇÃO</w:t>
      </w:r>
    </w:p>
    <w:p w14:paraId="4F6F36D8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7897DD20" w14:textId="77777777"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 xml:space="preserve">1. ANÁLISE DA CELEBRAÇÃO DA PARCERIA </w:t>
      </w:r>
    </w:p>
    <w:p w14:paraId="750AFA99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413CC807" w14:textId="77777777"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A – ANÁLISE DO PLANO DE TRABALHO</w:t>
      </w:r>
    </w:p>
    <w:p w14:paraId="53D2858A" w14:textId="77777777"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 xml:space="preserve">[ANALISAR DE MANEIRA DETALHADA O PLANO DE TRABALHO E A ADEQUAÇÃO DO </w:t>
      </w:r>
      <w:r w:rsidR="00BB5182" w:rsidRPr="00B840BB">
        <w:rPr>
          <w:rFonts w:ascii="Arial" w:hAnsi="Arial"/>
          <w:color w:val="auto"/>
          <w:sz w:val="22"/>
          <w:szCs w:val="22"/>
        </w:rPr>
        <w:t xml:space="preserve">MÉRITO DA PROPOSTA EM RELAÇÃO </w:t>
      </w:r>
      <w:r w:rsidR="005B5F7F">
        <w:rPr>
          <w:rFonts w:ascii="Arial" w:hAnsi="Arial"/>
          <w:color w:val="auto"/>
          <w:sz w:val="22"/>
          <w:szCs w:val="22"/>
        </w:rPr>
        <w:t xml:space="preserve">AO OBJETO DA PARCERIA E </w:t>
      </w:r>
      <w:r w:rsidR="00BB5182" w:rsidRPr="00B840BB">
        <w:rPr>
          <w:rFonts w:ascii="Arial" w:hAnsi="Arial"/>
          <w:color w:val="auto"/>
          <w:sz w:val="22"/>
          <w:szCs w:val="22"/>
        </w:rPr>
        <w:t>ÀS POLÍTICAS PÚBLICAS DO DISTRITO FEDERAL, TENDO EM VISTA O DISPOSTO NA LEI ORGÂNICA DA CULTURA E NO PLANO DE CULTURA</w:t>
      </w:r>
      <w:r w:rsidRPr="00B840BB">
        <w:rPr>
          <w:rFonts w:ascii="Arial" w:hAnsi="Arial"/>
          <w:color w:val="auto"/>
          <w:sz w:val="22"/>
          <w:szCs w:val="22"/>
        </w:rPr>
        <w:t xml:space="preserve">] </w:t>
      </w:r>
    </w:p>
    <w:p w14:paraId="4E59E689" w14:textId="77777777" w:rsidR="003B299C" w:rsidRPr="00B840BB" w:rsidRDefault="003B299C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69EDE2B8" w14:textId="77777777"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B – ANÁLISE DA OSC PROPONENTE</w:t>
      </w:r>
    </w:p>
    <w:p w14:paraId="661F9B96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[ANALISAR A COMPATIBILIDADE DO OBJETO DA PARCERIA COM OS OBJETIVOS, FINALIDADES INSTITUCIONAIS E CAPACIDADE TÉCNICA E OPERACIONAL DA OSC PROPONENTE] </w:t>
      </w:r>
    </w:p>
    <w:p w14:paraId="65A0B52A" w14:textId="77777777" w:rsidR="003B299C" w:rsidRPr="00B840BB" w:rsidRDefault="003B299C">
      <w:pPr>
        <w:jc w:val="both"/>
        <w:rPr>
          <w:rFonts w:ascii="Arial" w:eastAsiaTheme="minorHAnsi" w:hAnsi="Arial" w:cs="Tahoma"/>
          <w:color w:val="auto"/>
          <w:sz w:val="22"/>
          <w:szCs w:val="22"/>
        </w:rPr>
      </w:pPr>
    </w:p>
    <w:p w14:paraId="6152E6C5" w14:textId="77777777"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C – REGULARIDADE DA OSC PROPONENTE</w:t>
      </w:r>
    </w:p>
    <w:p w14:paraId="446BFD97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>[ANALISAR CERTIDÕES E ATOS CONSTITUTIVOS DA OSC PROPONENTE]</w:t>
      </w:r>
    </w:p>
    <w:p w14:paraId="7DEC6484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70D913E9" w14:textId="77777777"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 xml:space="preserve">D – ANÁLISE DA PARCERIA </w:t>
      </w:r>
    </w:p>
    <w:p w14:paraId="52DDCA81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[ANALISAR A IDENTIDADE E RECIPROCIDADE DE INTERESSE DOS PARTÍCIPES NA REALIZAÇÃO DA PARCERIA EM MÚTUA COOPERAÇÃO, E VIABILIDADE DA PARCERIA] </w:t>
      </w:r>
    </w:p>
    <w:p w14:paraId="21AE9041" w14:textId="77777777" w:rsidR="003B299C" w:rsidRPr="00B840BB" w:rsidRDefault="003B299C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40E0DBD7" w14:textId="77777777" w:rsidR="003B299C" w:rsidRPr="00B840BB" w:rsidRDefault="002C1271">
      <w:pPr>
        <w:spacing w:line="276" w:lineRule="auto"/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E – ANÁLISE FINANCEIRA</w:t>
      </w:r>
    </w:p>
    <w:p w14:paraId="0D5E92DD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>[EXAMINAR A COMPATIBILIDADE DOS CUSTOS INDICADOS NO PLANO DE TRABALHO COM VALORES PRATICADOS NO MERCADO E ANALISAR O CRONOGRAMA DE DESEMBOLSO]</w:t>
      </w:r>
    </w:p>
    <w:p w14:paraId="0034CDE7" w14:textId="77777777" w:rsidR="003B299C" w:rsidRPr="00B840BB" w:rsidRDefault="003B299C">
      <w:pPr>
        <w:jc w:val="both"/>
        <w:rPr>
          <w:rFonts w:ascii="Arial" w:hAnsi="Arial"/>
          <w:color w:val="auto"/>
          <w:sz w:val="22"/>
          <w:szCs w:val="22"/>
        </w:rPr>
      </w:pPr>
    </w:p>
    <w:p w14:paraId="04CBD171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lastRenderedPageBreak/>
        <w:t xml:space="preserve">F – MANIFESTAÇÃO DE INTERESSE PÚBLICO EM CASO DE UTILIZAÇÃO DE RECURSOS COMPLEMENTARES </w:t>
      </w:r>
      <w:r w:rsidRPr="00B840BB">
        <w:rPr>
          <w:rFonts w:ascii="Arial" w:eastAsiaTheme="minorHAnsi" w:hAnsi="Arial" w:cs="Tahoma"/>
          <w:b/>
          <w:color w:val="auto"/>
          <w:sz w:val="22"/>
          <w:szCs w:val="22"/>
        </w:rPr>
        <w:t>(SE HOUVER)</w:t>
      </w:r>
    </w:p>
    <w:p w14:paraId="1A2E8A36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 xml:space="preserve">[MANIFESTAR-SE ACERCA DO INTERESSE PÚBLICO NO APORTE DE RECURSOS PÚBLICOS DISTRITAIS COM BASE NO </w:t>
      </w:r>
      <w:r w:rsidRPr="002E0503">
        <w:rPr>
          <w:rFonts w:ascii="Arial" w:hAnsi="Arial"/>
          <w:color w:val="auto"/>
          <w:sz w:val="22"/>
          <w:szCs w:val="22"/>
        </w:rPr>
        <w:t xml:space="preserve">ART. 32 </w:t>
      </w:r>
      <w:r w:rsidRPr="00B840BB">
        <w:rPr>
          <w:rFonts w:ascii="Arial" w:hAnsi="Arial"/>
          <w:color w:val="auto"/>
          <w:sz w:val="22"/>
          <w:szCs w:val="22"/>
        </w:rPr>
        <w:t>DA PORTARIA MROSC CULTURA E NA MOBILIZAÇÃO DE RECURSOS COMPLEMENTARES]</w:t>
      </w:r>
    </w:p>
    <w:p w14:paraId="0678F746" w14:textId="77777777" w:rsidR="003B299C" w:rsidRPr="00B840BB" w:rsidRDefault="003B299C">
      <w:pPr>
        <w:jc w:val="both"/>
        <w:rPr>
          <w:rFonts w:ascii="Arial" w:hAnsi="Arial"/>
          <w:color w:val="auto"/>
          <w:sz w:val="22"/>
          <w:szCs w:val="22"/>
        </w:rPr>
      </w:pPr>
    </w:p>
    <w:p w14:paraId="69B2E7D2" w14:textId="77777777" w:rsidR="003B299C" w:rsidRPr="00B840BB" w:rsidRDefault="002C1271">
      <w:pPr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 xml:space="preserve">G – </w:t>
      </w:r>
      <w:r w:rsidRPr="00B840BB">
        <w:rPr>
          <w:rFonts w:ascii="Arial" w:eastAsiaTheme="minorHAnsi" w:hAnsi="Arial" w:cs="Tahoma"/>
          <w:b/>
          <w:color w:val="auto"/>
          <w:sz w:val="22"/>
          <w:szCs w:val="22"/>
        </w:rPr>
        <w:t>TITULARIDADE DE BENS</w:t>
      </w:r>
      <w:r w:rsidR="00BB5182" w:rsidRPr="00B840BB">
        <w:rPr>
          <w:rFonts w:ascii="Arial" w:eastAsiaTheme="minorHAnsi" w:hAnsi="Arial" w:cs="Tahoma"/>
          <w:b/>
          <w:color w:val="auto"/>
          <w:sz w:val="22"/>
          <w:szCs w:val="22"/>
        </w:rPr>
        <w:t xml:space="preserve"> EVENTUALMENTE</w:t>
      </w:r>
      <w:r w:rsidRPr="00B840BB">
        <w:rPr>
          <w:rFonts w:ascii="Arial" w:eastAsiaTheme="minorHAnsi" w:hAnsi="Arial" w:cs="Tahoma"/>
          <w:b/>
          <w:color w:val="auto"/>
          <w:sz w:val="22"/>
          <w:szCs w:val="22"/>
        </w:rPr>
        <w:t xml:space="preserve"> ADQUIRIDOS COM RECURSOS DA PARCERIA </w:t>
      </w:r>
    </w:p>
    <w:p w14:paraId="0F744C01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[DEFINIR TITULARIDADE DOS BENS </w:t>
      </w:r>
      <w:r w:rsidR="00BB5182"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EVENTUALMENTE </w:t>
      </w:r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ADQUIRIDOS COM RECURSOS DA PARCERIA, INCLUSIVE POR MEIO DE RECURSOS COMPLEMENTARES] </w:t>
      </w:r>
    </w:p>
    <w:p w14:paraId="7B9482F3" w14:textId="77777777" w:rsidR="003B299C" w:rsidRPr="00B840BB" w:rsidRDefault="003B299C">
      <w:pPr>
        <w:spacing w:line="276" w:lineRule="auto"/>
        <w:jc w:val="both"/>
        <w:rPr>
          <w:rFonts w:ascii="Arial" w:hAnsi="Arial"/>
          <w:color w:val="auto"/>
          <w:sz w:val="22"/>
          <w:szCs w:val="22"/>
        </w:rPr>
      </w:pPr>
    </w:p>
    <w:p w14:paraId="0B709426" w14:textId="77777777" w:rsidR="003B299C" w:rsidRPr="00B840BB" w:rsidRDefault="002C1271">
      <w:pPr>
        <w:rPr>
          <w:color w:val="auto"/>
        </w:rPr>
      </w:pPr>
      <w:r w:rsidRPr="00B840BB">
        <w:rPr>
          <w:rFonts w:ascii="Arial" w:hAnsi="Arial"/>
          <w:b/>
          <w:color w:val="auto"/>
          <w:sz w:val="22"/>
          <w:szCs w:val="22"/>
        </w:rPr>
        <w:t>H – GESTOR DE PARCERIA E COMISSÃO DE MONITORAMENTO E AVALIAÇÃO</w:t>
      </w:r>
    </w:p>
    <w:p w14:paraId="78F0309F" w14:textId="1BDD7932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[DEFINIR OS MEIOS DISPONÍVEIS PARA FISCALIZAÇÃO E MONITORAMENTO DA EXECUÇÃO DA PARCERIA </w:t>
      </w:r>
      <w:r w:rsidR="00CB5B52">
        <w:rPr>
          <w:rFonts w:ascii="Arial" w:eastAsiaTheme="minorHAnsi" w:hAnsi="Arial" w:cs="Tahoma"/>
          <w:color w:val="auto"/>
          <w:sz w:val="22"/>
          <w:szCs w:val="22"/>
        </w:rPr>
        <w:t xml:space="preserve">APRESENTANDO PROPOSTA DE PLANO DE MONITORAMENTO, </w:t>
      </w:r>
      <w:r w:rsidRPr="00B840BB">
        <w:rPr>
          <w:rFonts w:ascii="Arial" w:eastAsiaTheme="minorHAnsi" w:hAnsi="Arial" w:cs="Tahoma"/>
          <w:color w:val="auto"/>
          <w:sz w:val="22"/>
          <w:szCs w:val="22"/>
        </w:rPr>
        <w:t xml:space="preserve">COM BASE NOS MARCOS EXECUTORES PREVISTOS NO PLANO DE TRABALHO E SOLICITAR A DESIGNAÇÃO DO GESTOR OU COMISSÃO GESTORA DA PARCERIA] </w:t>
      </w:r>
    </w:p>
    <w:p w14:paraId="31863428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048BA7B2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7CACFDE0" w14:textId="77777777" w:rsidR="003B299C" w:rsidRPr="00B840BB" w:rsidRDefault="002C1271">
      <w:pPr>
        <w:spacing w:line="276" w:lineRule="auto"/>
        <w:jc w:val="both"/>
        <w:rPr>
          <w:color w:val="auto"/>
          <w:u w:val="single"/>
        </w:rPr>
      </w:pPr>
      <w:r w:rsidRPr="00B840BB">
        <w:rPr>
          <w:rFonts w:ascii="Arial" w:hAnsi="Arial"/>
          <w:b/>
          <w:color w:val="auto"/>
          <w:sz w:val="22"/>
          <w:szCs w:val="22"/>
          <w:u w:val="single"/>
        </w:rPr>
        <w:t>IV. CONCLUSÃO</w:t>
      </w:r>
    </w:p>
    <w:p w14:paraId="13946CA5" w14:textId="77777777" w:rsidR="003B299C" w:rsidRPr="00B840BB" w:rsidRDefault="003B299C">
      <w:pPr>
        <w:spacing w:line="276" w:lineRule="auto"/>
        <w:jc w:val="both"/>
        <w:rPr>
          <w:rFonts w:ascii="Arial" w:hAnsi="Arial"/>
          <w:b/>
          <w:color w:val="auto"/>
          <w:sz w:val="22"/>
          <w:szCs w:val="22"/>
        </w:rPr>
      </w:pPr>
    </w:p>
    <w:p w14:paraId="4018A991" w14:textId="77777777" w:rsidR="003B299C" w:rsidRPr="00B840BB" w:rsidRDefault="002C1271" w:rsidP="00BB5182">
      <w:pPr>
        <w:spacing w:line="276" w:lineRule="auto"/>
        <w:ind w:firstLine="360"/>
        <w:jc w:val="both"/>
        <w:rPr>
          <w:rFonts w:ascii="Arial" w:hAnsi="Arial"/>
          <w:color w:val="auto"/>
          <w:sz w:val="22"/>
          <w:szCs w:val="22"/>
        </w:rPr>
      </w:pPr>
      <w:r w:rsidRPr="00B840BB">
        <w:rPr>
          <w:rFonts w:ascii="Arial" w:hAnsi="Arial"/>
          <w:color w:val="auto"/>
          <w:sz w:val="22"/>
          <w:szCs w:val="22"/>
        </w:rPr>
        <w:t xml:space="preserve">Do ponto de vista técnico, </w:t>
      </w:r>
      <w:r w:rsidR="00BB5182" w:rsidRPr="00B840BB">
        <w:rPr>
          <w:rFonts w:ascii="Arial" w:hAnsi="Arial"/>
          <w:color w:val="auto"/>
          <w:sz w:val="22"/>
          <w:szCs w:val="22"/>
        </w:rPr>
        <w:t xml:space="preserve">há viabilidade de celebração do instrumento. Opinamos pelo </w:t>
      </w:r>
      <w:r w:rsidRPr="00B840BB">
        <w:rPr>
          <w:rFonts w:ascii="Arial" w:hAnsi="Arial"/>
          <w:color w:val="auto"/>
          <w:sz w:val="22"/>
          <w:szCs w:val="22"/>
        </w:rPr>
        <w:t>encaminhamento dos autos à Assessoria Jurídico-Legislativa.</w:t>
      </w:r>
    </w:p>
    <w:p w14:paraId="0D2DFF4A" w14:textId="77777777" w:rsidR="003B299C" w:rsidRPr="00B840BB" w:rsidRDefault="003B299C">
      <w:pPr>
        <w:jc w:val="both"/>
        <w:rPr>
          <w:rFonts w:ascii="Arial" w:hAnsi="Arial"/>
          <w:color w:val="auto"/>
          <w:sz w:val="22"/>
          <w:szCs w:val="22"/>
        </w:rPr>
      </w:pPr>
    </w:p>
    <w:p w14:paraId="38A764AB" w14:textId="77777777" w:rsidR="003B299C" w:rsidRPr="00B840BB" w:rsidRDefault="002C1271">
      <w:pPr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ab/>
      </w:r>
    </w:p>
    <w:p w14:paraId="08CDC319" w14:textId="77777777" w:rsidR="003B299C" w:rsidRPr="00B840BB" w:rsidRDefault="002C1271">
      <w:pPr>
        <w:spacing w:line="360" w:lineRule="auto"/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>Elaborado por:</w:t>
      </w:r>
    </w:p>
    <w:p w14:paraId="58C25ACA" w14:textId="77777777" w:rsidR="003B299C" w:rsidRPr="00B840BB" w:rsidRDefault="00BB5182">
      <w:pPr>
        <w:jc w:val="center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>Técnico da área finalística</w:t>
      </w:r>
    </w:p>
    <w:p w14:paraId="3321E6E1" w14:textId="77777777" w:rsidR="003B299C" w:rsidRPr="00B840BB" w:rsidRDefault="003B299C" w:rsidP="00BB5182">
      <w:pPr>
        <w:rPr>
          <w:rFonts w:ascii="Arial" w:hAnsi="Arial"/>
          <w:color w:val="auto"/>
          <w:sz w:val="22"/>
          <w:szCs w:val="22"/>
        </w:rPr>
      </w:pPr>
    </w:p>
    <w:p w14:paraId="36A30401" w14:textId="77777777" w:rsidR="00BB5182" w:rsidRPr="00B840BB" w:rsidRDefault="00BB5182" w:rsidP="00BB5182">
      <w:pPr>
        <w:rPr>
          <w:rFonts w:ascii="Arial" w:hAnsi="Arial"/>
          <w:color w:val="auto"/>
          <w:sz w:val="22"/>
          <w:szCs w:val="22"/>
        </w:rPr>
      </w:pPr>
      <w:r w:rsidRPr="00B840BB">
        <w:rPr>
          <w:rFonts w:ascii="Arial" w:hAnsi="Arial"/>
          <w:color w:val="auto"/>
          <w:sz w:val="22"/>
          <w:szCs w:val="22"/>
        </w:rPr>
        <w:t>Aprovo o Pl</w:t>
      </w:r>
      <w:r w:rsidR="00B840BB">
        <w:rPr>
          <w:rFonts w:ascii="Arial" w:hAnsi="Arial"/>
          <w:color w:val="auto"/>
          <w:sz w:val="22"/>
          <w:szCs w:val="22"/>
        </w:rPr>
        <w:t>ano de Trabalho com fundamento n</w:t>
      </w:r>
      <w:r w:rsidRPr="00B840BB">
        <w:rPr>
          <w:rFonts w:ascii="Arial" w:hAnsi="Arial"/>
          <w:color w:val="auto"/>
          <w:sz w:val="22"/>
          <w:szCs w:val="22"/>
        </w:rPr>
        <w:t>o Parecer Técnico.</w:t>
      </w:r>
    </w:p>
    <w:p w14:paraId="26DD7208" w14:textId="77777777" w:rsidR="003B299C" w:rsidRPr="00B840BB" w:rsidRDefault="003B299C">
      <w:pPr>
        <w:spacing w:line="360" w:lineRule="auto"/>
        <w:jc w:val="center"/>
        <w:rPr>
          <w:rFonts w:ascii="Arial" w:hAnsi="Arial"/>
          <w:color w:val="auto"/>
          <w:sz w:val="22"/>
          <w:szCs w:val="22"/>
        </w:rPr>
      </w:pPr>
    </w:p>
    <w:p w14:paraId="186C6451" w14:textId="77777777" w:rsidR="003B299C" w:rsidRPr="00B840BB" w:rsidRDefault="002C1271">
      <w:pPr>
        <w:spacing w:line="360" w:lineRule="auto"/>
        <w:jc w:val="both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>Aprovado por:</w:t>
      </w:r>
    </w:p>
    <w:p w14:paraId="11512EE0" w14:textId="77777777" w:rsidR="003B299C" w:rsidRPr="00B840BB" w:rsidRDefault="003B299C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72800ABC" w14:textId="77777777" w:rsidR="003B299C" w:rsidRPr="00B840BB" w:rsidRDefault="002C1271">
      <w:pPr>
        <w:ind w:left="227"/>
        <w:jc w:val="center"/>
        <w:rPr>
          <w:color w:val="auto"/>
        </w:rPr>
      </w:pPr>
      <w:r w:rsidRPr="00B840BB">
        <w:rPr>
          <w:rFonts w:ascii="Arial" w:hAnsi="Arial"/>
          <w:color w:val="auto"/>
          <w:sz w:val="22"/>
          <w:szCs w:val="22"/>
        </w:rPr>
        <w:t>Subsecretário(a) da área finalística</w:t>
      </w:r>
    </w:p>
    <w:p w14:paraId="3528B373" w14:textId="77777777" w:rsidR="003B299C" w:rsidRPr="00B840BB" w:rsidRDefault="003B299C">
      <w:pPr>
        <w:jc w:val="both"/>
        <w:rPr>
          <w:color w:val="auto"/>
        </w:rPr>
      </w:pPr>
    </w:p>
    <w:sectPr w:rsidR="003B299C" w:rsidRPr="00B840BB">
      <w:headerReference w:type="default" r:id="rId7"/>
      <w:footerReference w:type="default" r:id="rId8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B67C9" w14:textId="77777777" w:rsidR="00EB1142" w:rsidRDefault="00EB1142">
      <w:r>
        <w:separator/>
      </w:r>
    </w:p>
  </w:endnote>
  <w:endnote w:type="continuationSeparator" w:id="0">
    <w:p w14:paraId="2345D653" w14:textId="77777777" w:rsidR="00EB1142" w:rsidRDefault="00EB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7812563"/>
      <w:docPartObj>
        <w:docPartGallery w:val="Page Numbers (Bottom of Page)"/>
        <w:docPartUnique/>
      </w:docPartObj>
    </w:sdtPr>
    <w:sdtEndPr/>
    <w:sdtContent>
      <w:p w14:paraId="182A44A2" w14:textId="77777777" w:rsidR="003B299C" w:rsidRDefault="00EB1142">
        <w:pPr>
          <w:pStyle w:val="Rodap"/>
          <w:jc w:val="right"/>
        </w:pPr>
      </w:p>
    </w:sdtContent>
  </w:sdt>
  <w:p w14:paraId="2897A710" w14:textId="77777777" w:rsidR="003B299C" w:rsidRDefault="003B29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65F68" w14:textId="77777777" w:rsidR="00EB1142" w:rsidRDefault="00EB1142">
      <w:r>
        <w:separator/>
      </w:r>
    </w:p>
  </w:footnote>
  <w:footnote w:type="continuationSeparator" w:id="0">
    <w:p w14:paraId="3BE81520" w14:textId="77777777" w:rsidR="00EB1142" w:rsidRDefault="00EB1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71D75" w14:textId="77777777" w:rsidR="003B299C" w:rsidRDefault="003B299C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3B299C" w14:paraId="24F64716" w14:textId="77777777">
      <w:trPr>
        <w:trHeight w:val="1428"/>
      </w:trPr>
      <w:tc>
        <w:tcPr>
          <w:tcW w:w="1416" w:type="dxa"/>
          <w:shd w:val="clear" w:color="auto" w:fill="auto"/>
        </w:tcPr>
        <w:p w14:paraId="18D1ECEB" w14:textId="77777777" w:rsidR="003B299C" w:rsidRDefault="002C1271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00A6DF94" wp14:editId="1CDBD27C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487ABDED" w14:textId="77777777" w:rsidR="003B299C" w:rsidRDefault="003B299C">
          <w:pPr>
            <w:pStyle w:val="Cabealho"/>
            <w:jc w:val="center"/>
          </w:pPr>
        </w:p>
        <w:p w14:paraId="27D4FCAC" w14:textId="77777777" w:rsidR="003B299C" w:rsidRDefault="002C1271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30EE2894" w14:textId="3DAD1CBE" w:rsidR="003B299C" w:rsidRDefault="002C1271">
          <w:pPr>
            <w:pStyle w:val="Cabealho"/>
            <w:jc w:val="center"/>
          </w:pPr>
          <w:r>
            <w:rPr>
              <w:rFonts w:ascii="Arial" w:hAnsi="Arial"/>
              <w:b/>
            </w:rPr>
            <w:t xml:space="preserve">SECRETARIA DE ESTADO DE CULTURA </w:t>
          </w:r>
          <w:r w:rsidR="00D0275E">
            <w:rPr>
              <w:rFonts w:ascii="Arial" w:hAnsi="Arial"/>
              <w:b/>
            </w:rPr>
            <w:t>E ECONOMIA CRIATIVA</w:t>
          </w:r>
        </w:p>
        <w:p w14:paraId="3B97844B" w14:textId="77777777" w:rsidR="003B299C" w:rsidRPr="00B840BB" w:rsidRDefault="002C1271">
          <w:pPr>
            <w:pStyle w:val="Cabealho"/>
            <w:jc w:val="center"/>
            <w:rPr>
              <w:rFonts w:ascii="Tahoma" w:hAnsi="Tahoma"/>
              <w:color w:val="auto"/>
            </w:rPr>
          </w:pPr>
          <w:r w:rsidRPr="00B840BB">
            <w:rPr>
              <w:rFonts w:ascii="Arial" w:hAnsi="Arial"/>
              <w:b/>
              <w:color w:val="auto"/>
            </w:rPr>
            <w:t>[ÁREA FINALÍSTICA]</w:t>
          </w:r>
        </w:p>
        <w:p w14:paraId="3EBAF282" w14:textId="77777777" w:rsidR="003B299C" w:rsidRDefault="003B299C">
          <w:pPr>
            <w:pStyle w:val="Cabealho"/>
            <w:rPr>
              <w:rFonts w:ascii="Tahoma" w:hAnsi="Tahoma"/>
            </w:rPr>
          </w:pPr>
        </w:p>
      </w:tc>
    </w:tr>
  </w:tbl>
  <w:p w14:paraId="1711D303" w14:textId="77777777" w:rsidR="003B299C" w:rsidRDefault="003B29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9C"/>
    <w:rsid w:val="001750FA"/>
    <w:rsid w:val="002C1271"/>
    <w:rsid w:val="002E0503"/>
    <w:rsid w:val="003B299C"/>
    <w:rsid w:val="005B5F7F"/>
    <w:rsid w:val="00735473"/>
    <w:rsid w:val="00813751"/>
    <w:rsid w:val="00930196"/>
    <w:rsid w:val="00B840BB"/>
    <w:rsid w:val="00BB5182"/>
    <w:rsid w:val="00CB5B52"/>
    <w:rsid w:val="00D0275E"/>
    <w:rsid w:val="00EA671C"/>
    <w:rsid w:val="00EB1142"/>
    <w:rsid w:val="00F6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8AF8"/>
  <w15:docId w15:val="{844D0E03-E528-4F07-8C16-DC3AC7BB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BB51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182"/>
    <w:rPr>
      <w:rFonts w:ascii="Tahoma" w:eastAsia="MS Mincho" w:hAnsi="Tahoma" w:cs="Tahoma"/>
      <w:color w:val="00000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301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01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0196"/>
    <w:rPr>
      <w:rFonts w:ascii="Cambria" w:eastAsia="MS Mincho" w:hAnsi="Cambria" w:cs="Times New Roman"/>
      <w:color w:val="00000A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01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0196"/>
    <w:rPr>
      <w:rFonts w:ascii="Cambria" w:eastAsia="MS Mincho" w:hAnsi="Cambria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D785-79B5-4E4A-A7A0-A65C5E9D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Lais Valente</cp:lastModifiedBy>
  <cp:revision>4</cp:revision>
  <cp:lastPrinted>2017-04-07T14:19:00Z</cp:lastPrinted>
  <dcterms:created xsi:type="dcterms:W3CDTF">2020-05-25T14:22:00Z</dcterms:created>
  <dcterms:modified xsi:type="dcterms:W3CDTF">2020-06-26T21:19:00Z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